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pageBreakBefore w:val="0"/>
        <w:spacing w:after="200" w:lineRule="auto"/>
        <w:rPr>
          <w:rFonts w:ascii="Arial" w:cs="Arial" w:eastAsia="Arial" w:hAnsi="Arial"/>
          <w:color w:val="1591d1"/>
        </w:rPr>
      </w:pPr>
      <w:bookmarkStart w:colFirst="0" w:colLast="0" w:name="_tcswsdutwcgr" w:id="0"/>
      <w:bookmarkEnd w:id="0"/>
      <w:r w:rsidDel="00000000" w:rsidR="00000000" w:rsidRPr="00000000">
        <w:rPr>
          <w:rFonts w:ascii="Arial" w:cs="Arial" w:eastAsia="Arial" w:hAnsi="Arial"/>
          <w:color w:val="1591d1"/>
          <w:rtl w:val="0"/>
        </w:rPr>
        <w:t xml:space="preserve">Introduction </w:t>
      </w:r>
    </w:p>
    <w:p w:rsidR="00000000" w:rsidDel="00000000" w:rsidP="00000000" w:rsidRDefault="00000000" w:rsidRPr="00000000" w14:paraId="00000002">
      <w:pPr>
        <w:pageBreakBefore w:val="0"/>
        <w:jc w:val="both"/>
        <w:rPr>
          <w:rFonts w:ascii="Arial" w:cs="Arial" w:eastAsia="Arial" w:hAnsi="Arial"/>
          <w:color w:val="666666"/>
          <w:sz w:val="22"/>
          <w:szCs w:val="22"/>
        </w:rPr>
      </w:pPr>
      <w:bookmarkStart w:colFirst="0" w:colLast="0" w:name="_kqr97ivbu5eq" w:id="1"/>
      <w:bookmarkEnd w:id="1"/>
      <w:r w:rsidDel="00000000" w:rsidR="00000000" w:rsidRPr="00000000">
        <w:rPr>
          <w:rFonts w:ascii="Arial" w:cs="Arial" w:eastAsia="Arial" w:hAnsi="Arial"/>
          <w:color w:val="666666"/>
          <w:sz w:val="22"/>
          <w:szCs w:val="22"/>
          <w:rtl w:val="0"/>
        </w:rPr>
        <w:t xml:space="preserve">This report provides data and analysis of the pay differentials between the Trust’s male and female employees to inform our strategic work in this area and to fulfil the Trust’s statutory duties in accordance with The Equality Act 2010 (Specific Duties and Public Authorities) </w:t>
      </w:r>
      <w:r w:rsidDel="00000000" w:rsidR="00000000" w:rsidRPr="00000000">
        <w:rPr>
          <w:rFonts w:ascii="Arial" w:cs="Arial" w:eastAsia="Arial" w:hAnsi="Arial"/>
          <w:color w:val="666666"/>
          <w:sz w:val="22"/>
          <w:szCs w:val="22"/>
          <w:rtl w:val="0"/>
        </w:rPr>
        <w:t xml:space="preserve">Regulations 2017</w:t>
      </w:r>
      <w:r w:rsidDel="00000000" w:rsidR="00000000" w:rsidRPr="00000000">
        <w:rPr>
          <w:rFonts w:ascii="Arial" w:cs="Arial" w:eastAsia="Arial" w:hAnsi="Arial"/>
          <w:color w:val="666666"/>
          <w:sz w:val="22"/>
          <w:szCs w:val="22"/>
          <w:rtl w:val="0"/>
        </w:rPr>
        <w:t xml:space="preserve">.</w:t>
      </w:r>
    </w:p>
    <w:p w:rsidR="00000000" w:rsidDel="00000000" w:rsidP="00000000" w:rsidRDefault="00000000" w:rsidRPr="00000000" w14:paraId="00000003">
      <w:pPr>
        <w:pageBreakBefore w:val="0"/>
        <w:jc w:val="both"/>
        <w:rPr>
          <w:rFonts w:ascii="Arial" w:cs="Arial" w:eastAsia="Arial" w:hAnsi="Arial"/>
          <w:color w:val="666666"/>
          <w:sz w:val="22"/>
          <w:szCs w:val="22"/>
        </w:rPr>
      </w:pPr>
      <w:bookmarkStart w:colFirst="0" w:colLast="0" w:name="_e0kf9y8nr84q" w:id="2"/>
      <w:bookmarkEnd w:id="2"/>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color w:val="666666"/>
          <w:sz w:val="22"/>
          <w:szCs w:val="22"/>
        </w:rPr>
      </w:pPr>
      <w:bookmarkStart w:colFirst="0" w:colLast="0" w:name="_ylzi7av03hx" w:id="3"/>
      <w:bookmarkEnd w:id="3"/>
      <w:r w:rsidDel="00000000" w:rsidR="00000000" w:rsidRPr="00000000">
        <w:rPr>
          <w:rFonts w:ascii="Arial" w:cs="Arial" w:eastAsia="Arial" w:hAnsi="Arial"/>
          <w:color w:val="666666"/>
          <w:sz w:val="22"/>
          <w:szCs w:val="22"/>
          <w:rtl w:val="0"/>
        </w:rPr>
        <w:t xml:space="preserve">Whilst the gender pay gap is undoubtedly a challenge within the education sector given the predominantly female workforce, The Elliot Foundation Academies Trust is committed to developing, maintaining and supporting a culture of equality and diversity across all aspects of our work, including pay, benefits and professional development opportunities. This requires continued effort to understand our gender pay gap and work to address the areas of impact.</w:t>
      </w:r>
    </w:p>
    <w:p w:rsidR="00000000" w:rsidDel="00000000" w:rsidP="00000000" w:rsidRDefault="00000000" w:rsidRPr="00000000" w14:paraId="00000005">
      <w:pPr>
        <w:pageBreakBefore w:val="0"/>
        <w:jc w:val="both"/>
        <w:rPr>
          <w:rFonts w:ascii="Arial" w:cs="Arial" w:eastAsia="Arial" w:hAnsi="Arial"/>
          <w:color w:val="666666"/>
          <w:sz w:val="22"/>
          <w:szCs w:val="22"/>
        </w:rPr>
      </w:pPr>
      <w:bookmarkStart w:colFirst="0" w:colLast="0" w:name="_6q80emi1nmxj" w:id="4"/>
      <w:bookmarkEnd w:id="4"/>
      <w:r w:rsidDel="00000000" w:rsidR="00000000" w:rsidRPr="00000000">
        <w:rPr>
          <w:rtl w:val="0"/>
        </w:rPr>
      </w:r>
    </w:p>
    <w:p w:rsidR="00000000" w:rsidDel="00000000" w:rsidP="00000000" w:rsidRDefault="00000000" w:rsidRPr="00000000" w14:paraId="00000006">
      <w:pPr>
        <w:pageBreakBefore w:val="0"/>
        <w:jc w:val="both"/>
        <w:rPr>
          <w:rFonts w:ascii="Arial" w:cs="Arial" w:eastAsia="Arial" w:hAnsi="Arial"/>
          <w:color w:val="666666"/>
          <w:sz w:val="22"/>
          <w:szCs w:val="22"/>
        </w:rPr>
      </w:pPr>
      <w:bookmarkStart w:colFirst="0" w:colLast="0" w:name="_bjuk3uvhb43q" w:id="5"/>
      <w:bookmarkEnd w:id="5"/>
      <w:r w:rsidDel="00000000" w:rsidR="00000000" w:rsidRPr="00000000">
        <w:rPr>
          <w:rFonts w:ascii="Arial" w:cs="Arial" w:eastAsia="Arial" w:hAnsi="Arial"/>
          <w:color w:val="666666"/>
          <w:sz w:val="22"/>
          <w:szCs w:val="22"/>
          <w:rtl w:val="0"/>
        </w:rPr>
        <w:t xml:space="preserve">The Trust is confident the gender pay gap does not reflect men being paid more than women to perform the same job roles. However, the dominance of a female workforce overall and in particular, the imbalance of the proportion of females employed in less senior roles within our staffing structures is a significant contributing factor. The lowest paid positions with the Trust are cleaners, caterers and less experienced Teaching Assistants/Classroom Assistants and these posts are predominantly fulfilled by females. These factors are consistent with the majority of the education sector, particularly primary schools, and arguably reflect societal norms and bias. </w:t>
      </w:r>
    </w:p>
    <w:p w:rsidR="00000000" w:rsidDel="00000000" w:rsidP="00000000" w:rsidRDefault="00000000" w:rsidRPr="00000000" w14:paraId="00000007">
      <w:pPr>
        <w:pageBreakBefore w:val="0"/>
        <w:jc w:val="both"/>
        <w:rPr>
          <w:rFonts w:ascii="Arial" w:cs="Arial" w:eastAsia="Arial" w:hAnsi="Arial"/>
          <w:color w:val="666666"/>
          <w:sz w:val="22"/>
          <w:szCs w:val="22"/>
        </w:rPr>
      </w:pPr>
      <w:bookmarkStart w:colFirst="0" w:colLast="0" w:name="_xibqahmpt8lr" w:id="6"/>
      <w:bookmarkEnd w:id="6"/>
      <w:r w:rsidDel="00000000" w:rsidR="00000000" w:rsidRPr="00000000">
        <w:rPr>
          <w:rtl w:val="0"/>
        </w:rPr>
      </w:r>
    </w:p>
    <w:p w:rsidR="00000000" w:rsidDel="00000000" w:rsidP="00000000" w:rsidRDefault="00000000" w:rsidRPr="00000000" w14:paraId="00000008">
      <w:pPr>
        <w:pageBreakBefore w:val="0"/>
        <w:jc w:val="both"/>
        <w:rPr>
          <w:rFonts w:ascii="Arial" w:cs="Arial" w:eastAsia="Arial" w:hAnsi="Arial"/>
          <w:color w:val="666666"/>
          <w:sz w:val="22"/>
          <w:szCs w:val="22"/>
        </w:rPr>
      </w:pPr>
      <w:bookmarkStart w:colFirst="0" w:colLast="0" w:name="_jlxh12n1011h" w:id="7"/>
      <w:bookmarkEnd w:id="7"/>
      <w:r w:rsidDel="00000000" w:rsidR="00000000" w:rsidRPr="00000000">
        <w:rPr>
          <w:rFonts w:ascii="Arial" w:cs="Arial" w:eastAsia="Arial" w:hAnsi="Arial"/>
          <w:color w:val="666666"/>
          <w:sz w:val="22"/>
          <w:szCs w:val="22"/>
          <w:rtl w:val="0"/>
        </w:rPr>
        <w:t xml:space="preserve">Despite this, the Trust is committed to continuing to explore ways in which we can examine and tackle the gender pay gap:</w:t>
      </w:r>
    </w:p>
    <w:p w:rsidR="00000000" w:rsidDel="00000000" w:rsidP="00000000" w:rsidRDefault="00000000" w:rsidRPr="00000000" w14:paraId="00000009">
      <w:pPr>
        <w:pageBreakBefore w:val="0"/>
        <w:numPr>
          <w:ilvl w:val="0"/>
          <w:numId w:val="2"/>
        </w:numPr>
        <w:ind w:left="720" w:hanging="360"/>
        <w:jc w:val="both"/>
        <w:rPr>
          <w:rFonts w:ascii="Arial" w:cs="Arial" w:eastAsia="Arial" w:hAnsi="Arial"/>
          <w:color w:val="666666"/>
          <w:sz w:val="22"/>
          <w:szCs w:val="22"/>
        </w:rPr>
      </w:pPr>
      <w:bookmarkStart w:colFirst="0" w:colLast="0" w:name="_1j5jt01wgt8j" w:id="8"/>
      <w:bookmarkEnd w:id="8"/>
      <w:r w:rsidDel="00000000" w:rsidR="00000000" w:rsidRPr="00000000">
        <w:rPr>
          <w:rFonts w:ascii="Arial" w:cs="Arial" w:eastAsia="Arial" w:hAnsi="Arial"/>
          <w:color w:val="666666"/>
          <w:sz w:val="22"/>
          <w:szCs w:val="22"/>
          <w:rtl w:val="0"/>
        </w:rPr>
        <w:t xml:space="preserve">we operate clear governance and job evaluation processes which assess the salary command of the post and is not specific to the occupant</w:t>
      </w:r>
    </w:p>
    <w:p w:rsidR="00000000" w:rsidDel="00000000" w:rsidP="00000000" w:rsidRDefault="00000000" w:rsidRPr="00000000" w14:paraId="0000000A">
      <w:pPr>
        <w:pageBreakBefore w:val="0"/>
        <w:numPr>
          <w:ilvl w:val="0"/>
          <w:numId w:val="2"/>
        </w:numPr>
        <w:ind w:left="720" w:hanging="360"/>
        <w:jc w:val="both"/>
        <w:rPr>
          <w:rFonts w:ascii="Arial" w:cs="Arial" w:eastAsia="Arial" w:hAnsi="Arial"/>
          <w:color w:val="666666"/>
          <w:sz w:val="22"/>
          <w:szCs w:val="22"/>
        </w:rPr>
      </w:pPr>
      <w:bookmarkStart w:colFirst="0" w:colLast="0" w:name="_czp03p3qp5v" w:id="9"/>
      <w:bookmarkEnd w:id="9"/>
      <w:r w:rsidDel="00000000" w:rsidR="00000000" w:rsidRPr="00000000">
        <w:rPr>
          <w:rFonts w:ascii="Arial" w:cs="Arial" w:eastAsia="Arial" w:hAnsi="Arial"/>
          <w:color w:val="666666"/>
          <w:sz w:val="22"/>
          <w:szCs w:val="22"/>
          <w:rtl w:val="0"/>
        </w:rPr>
        <w:t xml:space="preserve">we adopt both School Teachers’ Pay and Conditions Document recommendations and the Burgundy Book conditions for teaching staff and the Green Book conditions for support staff</w:t>
      </w:r>
    </w:p>
    <w:p w:rsidR="00000000" w:rsidDel="00000000" w:rsidP="00000000" w:rsidRDefault="00000000" w:rsidRPr="00000000" w14:paraId="0000000B">
      <w:pPr>
        <w:pageBreakBefore w:val="0"/>
        <w:numPr>
          <w:ilvl w:val="0"/>
          <w:numId w:val="2"/>
        </w:numPr>
        <w:ind w:left="720" w:hanging="360"/>
        <w:jc w:val="both"/>
        <w:rPr>
          <w:rFonts w:ascii="Arial" w:cs="Arial" w:eastAsia="Arial" w:hAnsi="Arial"/>
          <w:color w:val="666666"/>
          <w:sz w:val="22"/>
          <w:szCs w:val="22"/>
        </w:rPr>
      </w:pPr>
      <w:bookmarkStart w:colFirst="0" w:colLast="0" w:name="_gll14hxvu7v7" w:id="10"/>
      <w:bookmarkEnd w:id="10"/>
      <w:r w:rsidDel="00000000" w:rsidR="00000000" w:rsidRPr="00000000">
        <w:rPr>
          <w:rFonts w:ascii="Arial" w:cs="Arial" w:eastAsia="Arial" w:hAnsi="Arial"/>
          <w:color w:val="666666"/>
          <w:sz w:val="22"/>
          <w:szCs w:val="22"/>
          <w:rtl w:val="0"/>
        </w:rPr>
        <w:t xml:space="preserve">we apply equitable and consistent automatic pay progression across both support and teaching roles, with a central Trust governance process in place to review exceptional pay recommendations</w:t>
      </w:r>
    </w:p>
    <w:p w:rsidR="00000000" w:rsidDel="00000000" w:rsidP="00000000" w:rsidRDefault="00000000" w:rsidRPr="00000000" w14:paraId="0000000C">
      <w:pPr>
        <w:numPr>
          <w:ilvl w:val="0"/>
          <w:numId w:val="2"/>
        </w:numPr>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we have continued to develop and promote the flexibilities we are able to offer employees, including establishing our first ever co-headship of one of our schools which is proving extremely successful.</w:t>
      </w:r>
    </w:p>
    <w:p w:rsidR="00000000" w:rsidDel="00000000" w:rsidP="00000000" w:rsidRDefault="00000000" w:rsidRPr="00000000" w14:paraId="0000000D">
      <w:pPr>
        <w:numPr>
          <w:ilvl w:val="0"/>
          <w:numId w:val="2"/>
        </w:numPr>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we have reviewed the Trust’s executive pay scales to achieve improved equity across the group</w:t>
      </w:r>
    </w:p>
    <w:p w:rsidR="00000000" w:rsidDel="00000000" w:rsidP="00000000" w:rsidRDefault="00000000" w:rsidRPr="00000000" w14:paraId="0000000E">
      <w:pPr>
        <w:numPr>
          <w:ilvl w:val="0"/>
          <w:numId w:val="2"/>
        </w:numPr>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we are currently engaging in a variety of staff voice activities intended to develop our understanding of what more we can do to retain and develop employees, including females in leadership roles</w:t>
      </w:r>
    </w:p>
    <w:p w:rsidR="00000000" w:rsidDel="00000000" w:rsidP="00000000" w:rsidRDefault="00000000" w:rsidRPr="00000000" w14:paraId="0000000F">
      <w:pPr>
        <w:numPr>
          <w:ilvl w:val="0"/>
          <w:numId w:val="2"/>
        </w:numPr>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we continue to promote the Trust’s </w:t>
      </w:r>
      <w:r w:rsidDel="00000000" w:rsidR="00000000" w:rsidRPr="00000000">
        <w:rPr>
          <w:rFonts w:ascii="Arial" w:cs="Arial" w:eastAsia="Arial" w:hAnsi="Arial"/>
          <w:color w:val="666666"/>
          <w:sz w:val="22"/>
          <w:szCs w:val="22"/>
          <w:rtl w:val="0"/>
        </w:rPr>
        <w:t xml:space="preserve">Equality and Diversity Policy, Family Friendly Policy and Flexible Working Policy. These are intended to support a fair and equitable culture and enable employees to develop their careers whilst managing other commitments</w:t>
      </w:r>
    </w:p>
    <w:p w:rsidR="00000000" w:rsidDel="00000000" w:rsidP="00000000" w:rsidRDefault="00000000" w:rsidRPr="00000000" w14:paraId="00000010">
      <w:pPr>
        <w:numPr>
          <w:ilvl w:val="0"/>
          <w:numId w:val="2"/>
        </w:numPr>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we are developing an e</w:t>
      </w:r>
      <w:r w:rsidDel="00000000" w:rsidR="00000000" w:rsidRPr="00000000">
        <w:rPr>
          <w:rFonts w:ascii="Arial" w:cs="Arial" w:eastAsia="Arial" w:hAnsi="Arial"/>
          <w:color w:val="666666"/>
          <w:sz w:val="22"/>
          <w:szCs w:val="22"/>
          <w:rtl w:val="0"/>
        </w:rPr>
        <w:t xml:space="preserve">xpanding core Continuous Professional Development offering available to both teaching and support staff </w:t>
      </w:r>
      <w:r w:rsidDel="00000000" w:rsidR="00000000" w:rsidRPr="00000000">
        <w:rPr>
          <w:rFonts w:ascii="Arial" w:cs="Arial" w:eastAsia="Arial" w:hAnsi="Arial"/>
          <w:color w:val="666666"/>
          <w:sz w:val="22"/>
          <w:szCs w:val="22"/>
          <w:rtl w:val="0"/>
        </w:rPr>
        <w:t xml:space="preserve">and strengthening the communities and professional networks available to staff across the organisation</w:t>
      </w:r>
    </w:p>
    <w:p w:rsidR="00000000" w:rsidDel="00000000" w:rsidP="00000000" w:rsidRDefault="00000000" w:rsidRPr="00000000" w14:paraId="00000011">
      <w:pPr>
        <w:pStyle w:val="Heading3"/>
        <w:pageBreakBefore w:val="0"/>
        <w:spacing w:after="200" w:lineRule="auto"/>
        <w:rPr>
          <w:rFonts w:ascii="Arial" w:cs="Arial" w:eastAsia="Arial" w:hAnsi="Arial"/>
          <w:color w:val="1591d1"/>
        </w:rPr>
      </w:pPr>
      <w:bookmarkStart w:colFirst="0" w:colLast="0" w:name="_xzvb557plqyc" w:id="11"/>
      <w:bookmarkEnd w:id="11"/>
      <w:r w:rsidDel="00000000" w:rsidR="00000000" w:rsidRPr="00000000">
        <w:rPr>
          <w:rtl w:val="0"/>
        </w:rPr>
      </w:r>
    </w:p>
    <w:p w:rsidR="00000000" w:rsidDel="00000000" w:rsidP="00000000" w:rsidRDefault="00000000" w:rsidRPr="00000000" w14:paraId="00000012">
      <w:pPr>
        <w:pStyle w:val="Heading3"/>
        <w:pageBreakBefore w:val="0"/>
        <w:spacing w:after="200" w:lineRule="auto"/>
        <w:rPr/>
      </w:pPr>
      <w:bookmarkStart w:colFirst="0" w:colLast="0" w:name="_efscn2j4j32p" w:id="12"/>
      <w:bookmarkEnd w:id="12"/>
      <w:r w:rsidDel="00000000" w:rsidR="00000000" w:rsidRPr="00000000">
        <w:rPr>
          <w:rFonts w:ascii="Arial" w:cs="Arial" w:eastAsia="Arial" w:hAnsi="Arial"/>
          <w:color w:val="1591d1"/>
          <w:rtl w:val="0"/>
        </w:rPr>
        <w:t xml:space="preserve">Employee Headcount Gender Ratio*</w:t>
      </w:r>
      <w:r w:rsidDel="00000000" w:rsidR="00000000" w:rsidRPr="00000000">
        <w:rPr>
          <w:rtl w:val="0"/>
        </w:rPr>
      </w:r>
    </w:p>
    <w:tbl>
      <w:tblPr>
        <w:tblStyle w:val="Table1"/>
        <w:tblW w:w="89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1"/>
        <w:gridCol w:w="2991"/>
        <w:gridCol w:w="2991"/>
        <w:tblGridChange w:id="0">
          <w:tblGrid>
            <w:gridCol w:w="2991"/>
            <w:gridCol w:w="2991"/>
            <w:gridCol w:w="2991"/>
          </w:tblGrid>
        </w:tblGridChange>
      </w:tblGrid>
      <w:tr>
        <w:trPr>
          <w:cantSplit w:val="0"/>
          <w:tblHeader w:val="0"/>
        </w:trPr>
        <w:tc>
          <w:tcPr>
            <w:shd w:fill="1591d1"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Gender</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Headcount</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Percentage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434343"/>
              </w:rPr>
            </w:pPr>
            <w:r w:rsidDel="00000000" w:rsidR="00000000" w:rsidRPr="00000000">
              <w:rPr>
                <w:rFonts w:ascii="Arial" w:cs="Arial" w:eastAsia="Arial" w:hAnsi="Arial"/>
                <w:b w:val="1"/>
                <w:color w:val="434343"/>
                <w:rtl w:val="0"/>
              </w:rPr>
              <w:t xml:space="preserve">Male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183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8.72%</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434343"/>
              </w:rPr>
            </w:pPr>
            <w:r w:rsidDel="00000000" w:rsidR="00000000" w:rsidRPr="00000000">
              <w:rPr>
                <w:rFonts w:ascii="Arial" w:cs="Arial" w:eastAsia="Arial" w:hAnsi="Arial"/>
                <w:b w:val="1"/>
                <w:color w:val="434343"/>
                <w:rtl w:val="0"/>
              </w:rPr>
              <w:t xml:space="preserve">Female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1915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91.28%</w:t>
            </w:r>
          </w:p>
        </w:tc>
      </w:tr>
      <w:tr>
        <w:trPr>
          <w:cantSplit w:val="0"/>
          <w:tblHeader w:val="0"/>
        </w:trPr>
        <w:tc>
          <w:tcPr>
            <w:shd w:fill="1591d1"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Total</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Fonts w:ascii="Arial" w:cs="Arial" w:eastAsia="Arial" w:hAnsi="Arial"/>
                <w:color w:val="ffffff"/>
                <w:rtl w:val="0"/>
              </w:rPr>
              <w:t xml:space="preserve">2098</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Fonts w:ascii="Arial" w:cs="Arial" w:eastAsia="Arial" w:hAnsi="Arial"/>
                <w:color w:val="ffffff"/>
                <w:rtl w:val="0"/>
              </w:rPr>
              <w:t xml:space="preserve">100%</w:t>
            </w:r>
          </w:p>
        </w:tc>
      </w:tr>
    </w:tbl>
    <w:p w:rsidR="00000000" w:rsidDel="00000000" w:rsidP="00000000" w:rsidRDefault="00000000" w:rsidRPr="00000000" w14:paraId="0000001F">
      <w:pPr>
        <w:pStyle w:val="Heading3"/>
        <w:pageBreakBefore w:val="0"/>
        <w:spacing w:before="0" w:lineRule="auto"/>
        <w:jc w:val="left"/>
        <w:rPr>
          <w:b w:val="0"/>
          <w:i w:val="1"/>
          <w:color w:val="666666"/>
          <w:sz w:val="20"/>
          <w:szCs w:val="20"/>
        </w:rPr>
      </w:pPr>
      <w:bookmarkStart w:colFirst="0" w:colLast="0" w:name="_eyvte9yu4y2l" w:id="13"/>
      <w:bookmarkEnd w:id="13"/>
      <w:r w:rsidDel="00000000" w:rsidR="00000000" w:rsidRPr="00000000">
        <w:rPr>
          <w:b w:val="0"/>
          <w:i w:val="1"/>
          <w:color w:val="666666"/>
          <w:sz w:val="20"/>
          <w:szCs w:val="20"/>
          <w:rtl w:val="0"/>
        </w:rPr>
        <w:t xml:space="preserve">* Based on actual employee headcount discounting additional multiple contracts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color w:val="1591d1"/>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1591d1"/>
        </w:rPr>
      </w:pPr>
      <w:r w:rsidDel="00000000" w:rsidR="00000000" w:rsidRPr="00000000">
        <w:rPr>
          <w:rtl w:val="0"/>
        </w:rPr>
      </w:r>
    </w:p>
    <w:p w:rsidR="00000000" w:rsidDel="00000000" w:rsidP="00000000" w:rsidRDefault="00000000" w:rsidRPr="00000000" w14:paraId="00000024">
      <w:pPr>
        <w:pStyle w:val="Heading3"/>
        <w:rPr>
          <w:rFonts w:ascii="Arial" w:cs="Arial" w:eastAsia="Arial" w:hAnsi="Arial"/>
          <w:color w:val="1591d1"/>
          <w:sz w:val="28"/>
          <w:szCs w:val="28"/>
        </w:rPr>
      </w:pPr>
      <w:bookmarkStart w:colFirst="0" w:colLast="0" w:name="_1ci2wlhup1jn" w:id="14"/>
      <w:bookmarkEnd w:id="14"/>
      <w:r w:rsidDel="00000000" w:rsidR="00000000" w:rsidRPr="00000000">
        <w:rPr>
          <w:rFonts w:ascii="Calibri" w:cs="Calibri" w:eastAsia="Calibri" w:hAnsi="Calibri"/>
          <w:color w:val="1591d1"/>
          <w:sz w:val="20"/>
          <w:szCs w:val="20"/>
        </w:rPr>
        <w:drawing>
          <wp:inline distB="114300" distT="114300" distL="114300" distR="114300">
            <wp:extent cx="5701355" cy="3530600"/>
            <wp:effectExtent b="0" l="0" r="0" t="0"/>
            <wp:docPr descr="Chart" id="1" name="image3.png"/>
            <a:graphic>
              <a:graphicData uri="http://schemas.openxmlformats.org/drawingml/2006/picture">
                <pic:pic>
                  <pic:nvPicPr>
                    <pic:cNvPr descr="Chart" id="0" name="image3.png"/>
                    <pic:cNvPicPr preferRelativeResize="0"/>
                  </pic:nvPicPr>
                  <pic:blipFill>
                    <a:blip r:embed="rId6"/>
                    <a:srcRect b="0" l="0" r="0" t="0"/>
                    <a:stretch>
                      <a:fillRect/>
                    </a:stretch>
                  </pic:blipFill>
                  <pic:spPr>
                    <a:xfrm>
                      <a:off x="0" y="0"/>
                      <a:ext cx="5701355" cy="3530600"/>
                    </a:xfrm>
                    <a:prstGeom prst="rect"/>
                    <a:ln/>
                  </pic:spPr>
                </pic:pic>
              </a:graphicData>
            </a:graphic>
          </wp:inline>
        </w:drawing>
      </w:r>
      <w:r w:rsidDel="00000000" w:rsidR="00000000" w:rsidRPr="00000000">
        <w:br w:type="page"/>
      </w:r>
      <w:r w:rsidDel="00000000" w:rsidR="00000000" w:rsidRPr="00000000">
        <w:rPr>
          <w:rFonts w:ascii="Arial" w:cs="Arial" w:eastAsia="Arial" w:hAnsi="Arial"/>
          <w:color w:val="1591d1"/>
          <w:sz w:val="28"/>
          <w:szCs w:val="28"/>
          <w:rtl w:val="0"/>
        </w:rPr>
        <w:t xml:space="preserve">Gender Pay Differentials </w:t>
      </w:r>
    </w:p>
    <w:p w:rsidR="00000000" w:rsidDel="00000000" w:rsidP="00000000" w:rsidRDefault="00000000" w:rsidRPr="00000000" w14:paraId="00000025">
      <w:pPr>
        <w:spacing w:after="0" w:lineRule="auto"/>
        <w:rPr>
          <w:rFonts w:ascii="Arial" w:cs="Arial" w:eastAsia="Arial" w:hAnsi="Arial"/>
          <w:b w:val="1"/>
          <w:color w:val="1591d1"/>
        </w:rPr>
      </w:pPr>
      <w:r w:rsidDel="00000000" w:rsidR="00000000" w:rsidRPr="00000000">
        <w:rPr>
          <w:rtl w:val="0"/>
        </w:rPr>
      </w:r>
    </w:p>
    <w:p w:rsidR="00000000" w:rsidDel="00000000" w:rsidP="00000000" w:rsidRDefault="00000000" w:rsidRPr="00000000" w14:paraId="00000026">
      <w:pPr>
        <w:spacing w:after="200" w:lineRule="auto"/>
        <w:rPr>
          <w:rFonts w:ascii="Arial" w:cs="Arial" w:eastAsia="Arial" w:hAnsi="Arial"/>
          <w:b w:val="1"/>
          <w:color w:val="1591d1"/>
        </w:rPr>
      </w:pPr>
      <w:r w:rsidDel="00000000" w:rsidR="00000000" w:rsidRPr="00000000">
        <w:rPr>
          <w:rFonts w:ascii="Arial" w:cs="Arial" w:eastAsia="Arial" w:hAnsi="Arial"/>
          <w:b w:val="1"/>
          <w:color w:val="1591d1"/>
          <w:rtl w:val="0"/>
        </w:rPr>
        <w:t xml:space="preserve">Gender Ratio Quartile Analysis</w:t>
      </w:r>
      <w:r w:rsidDel="00000000" w:rsidR="00000000" w:rsidRPr="00000000">
        <w:rPr>
          <w:rtl w:val="0"/>
        </w:rPr>
      </w:r>
    </w:p>
    <w:tbl>
      <w:tblPr>
        <w:tblStyle w:val="Table2"/>
        <w:tblW w:w="90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245"/>
        <w:gridCol w:w="705"/>
        <w:gridCol w:w="1200"/>
        <w:gridCol w:w="675"/>
        <w:gridCol w:w="1275"/>
        <w:gridCol w:w="780"/>
        <w:gridCol w:w="1275"/>
        <w:gridCol w:w="735"/>
        <w:tblGridChange w:id="0">
          <w:tblGrid>
            <w:gridCol w:w="1110"/>
            <w:gridCol w:w="1245"/>
            <w:gridCol w:w="705"/>
            <w:gridCol w:w="1200"/>
            <w:gridCol w:w="675"/>
            <w:gridCol w:w="1275"/>
            <w:gridCol w:w="780"/>
            <w:gridCol w:w="1275"/>
            <w:gridCol w:w="735"/>
          </w:tblGrid>
        </w:tblGridChange>
      </w:tblGrid>
      <w:tr>
        <w:trPr>
          <w:cantSplit w:val="0"/>
          <w:trHeight w:val="440" w:hRule="atLeast"/>
          <w:tblHeader w:val="0"/>
        </w:trPr>
        <w:tc>
          <w:tcPr>
            <w:gridSpan w:val="9"/>
            <w:shd w:fill="1591d1" w:val="clear"/>
            <w:tcMar>
              <w:top w:w="100.0" w:type="dxa"/>
              <w:left w:w="100.0" w:type="dxa"/>
              <w:bottom w:w="100.0" w:type="dxa"/>
              <w:right w:w="100.0" w:type="dxa"/>
            </w:tcMar>
            <w:vAlign w:val="top"/>
          </w:tcPr>
          <w:p w:rsidR="00000000" w:rsidDel="00000000" w:rsidP="00000000" w:rsidRDefault="00000000" w:rsidRPr="00000000" w14:paraId="00000027">
            <w:pPr>
              <w:widowControl w:val="0"/>
              <w:jc w:val="center"/>
              <w:rPr>
                <w:b w:val="1"/>
                <w:color w:val="ffffff"/>
              </w:rPr>
            </w:pPr>
            <w:r w:rsidDel="00000000" w:rsidR="00000000" w:rsidRPr="00000000">
              <w:rPr>
                <w:b w:val="1"/>
                <w:color w:val="ffffff"/>
                <w:rtl w:val="0"/>
              </w:rPr>
              <w:t xml:space="preserve">Hourly Rate of Pay Quartiles</w:t>
            </w:r>
          </w:p>
        </w:tc>
      </w:tr>
      <w:tr>
        <w:trPr>
          <w:cantSplit w:val="0"/>
          <w:trHeight w:val="440" w:hRule="atLeast"/>
          <w:tblHeader w:val="0"/>
        </w:trPr>
        <w:tc>
          <w:tcPr>
            <w:vMerge w:val="restart"/>
            <w:shd w:fill="1591d1" w:val="clear"/>
            <w:tcMar>
              <w:top w:w="100.0" w:type="dxa"/>
              <w:left w:w="100.0" w:type="dxa"/>
              <w:bottom w:w="100.0" w:type="dxa"/>
              <w:right w:w="100.0" w:type="dxa"/>
            </w:tcMar>
            <w:vAlign w:val="top"/>
          </w:tcPr>
          <w:p w:rsidR="00000000" w:rsidDel="00000000" w:rsidP="00000000" w:rsidRDefault="00000000" w:rsidRPr="00000000" w14:paraId="00000030">
            <w:pPr>
              <w:widowControl w:val="0"/>
              <w:rPr>
                <w:b w:val="1"/>
                <w:color w:val="ffffff"/>
              </w:rPr>
            </w:pPr>
            <w:r w:rsidDel="00000000" w:rsidR="00000000" w:rsidRPr="00000000">
              <w:rPr>
                <w:b w:val="1"/>
                <w:color w:val="ffffff"/>
                <w:rtl w:val="0"/>
              </w:rPr>
              <w:t xml:space="preserve">Gender</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1">
            <w:pPr>
              <w:widowControl w:val="0"/>
              <w:jc w:val="center"/>
              <w:rPr>
                <w:b w:val="1"/>
              </w:rPr>
            </w:pPr>
            <w:r w:rsidDel="00000000" w:rsidR="00000000" w:rsidRPr="00000000">
              <w:rPr>
                <w:b w:val="1"/>
                <w:rtl w:val="0"/>
              </w:rPr>
              <w:t xml:space="preserve">Lower</w:t>
            </w:r>
          </w:p>
        </w:tc>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033">
            <w:pPr>
              <w:widowControl w:val="0"/>
              <w:jc w:val="center"/>
              <w:rPr>
                <w:b w:val="1"/>
              </w:rPr>
            </w:pPr>
            <w:r w:rsidDel="00000000" w:rsidR="00000000" w:rsidRPr="00000000">
              <w:rPr>
                <w:b w:val="1"/>
                <w:rtl w:val="0"/>
              </w:rPr>
              <w:t xml:space="preserve">Lower Middle</w:t>
            </w:r>
          </w:p>
        </w:tc>
        <w:tc>
          <w:tcPr>
            <w:gridSpan w:val="2"/>
            <w:shd w:fill="6fa8dc"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b w:val="1"/>
              </w:rPr>
            </w:pPr>
            <w:r w:rsidDel="00000000" w:rsidR="00000000" w:rsidRPr="00000000">
              <w:rPr>
                <w:b w:val="1"/>
                <w:rtl w:val="0"/>
              </w:rPr>
              <w:t xml:space="preserve">Upper Middle</w:t>
            </w:r>
          </w:p>
        </w:tc>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b w:val="1"/>
              </w:rPr>
            </w:pPr>
            <w:r w:rsidDel="00000000" w:rsidR="00000000" w:rsidRPr="00000000">
              <w:rPr>
                <w:b w:val="1"/>
                <w:rtl w:val="0"/>
              </w:rPr>
              <w:t xml:space="preserve">Upper</w:t>
            </w:r>
          </w:p>
        </w:tc>
      </w:tr>
      <w:tr>
        <w:trPr>
          <w:cantSplit w:val="0"/>
          <w:trHeight w:val="440" w:hRule="atLeast"/>
          <w:tblHeader w:val="0"/>
        </w:trPr>
        <w:tc>
          <w:tcPr>
            <w:vMerge w:val="continue"/>
            <w:shd w:fill="1591d1" w:val="clear"/>
            <w:tcMar>
              <w:top w:w="100.0" w:type="dxa"/>
              <w:left w:w="100.0" w:type="dxa"/>
              <w:bottom w:w="100.0" w:type="dxa"/>
              <w:right w:w="100.0" w:type="dxa"/>
            </w:tcMar>
            <w:vAlign w:val="top"/>
          </w:tcPr>
          <w:p w:rsidR="00000000" w:rsidDel="00000000" w:rsidP="00000000" w:rsidRDefault="00000000" w:rsidRPr="00000000" w14:paraId="00000039">
            <w:pPr>
              <w:widowControl w:val="0"/>
              <w:rPr>
                <w:b w:val="1"/>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rPr>
                <w:b w:val="1"/>
                <w:sz w:val="18"/>
                <w:szCs w:val="18"/>
              </w:rPr>
            </w:pPr>
            <w:r w:rsidDel="00000000" w:rsidR="00000000" w:rsidRPr="00000000">
              <w:rPr>
                <w:b w:val="1"/>
                <w:sz w:val="18"/>
                <w:szCs w:val="18"/>
                <w:rtl w:val="0"/>
              </w:rPr>
              <w:t xml:space="preserve">Headcount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B">
            <w:pPr>
              <w:widowControl w:val="0"/>
              <w:rPr>
                <w:b w:val="1"/>
                <w:sz w:val="18"/>
                <w:szCs w:val="18"/>
              </w:rPr>
            </w:pPr>
            <w:r w:rsidDel="00000000" w:rsidR="00000000" w:rsidRPr="00000000">
              <w:rPr>
                <w:b w:val="1"/>
                <w:sz w:val="18"/>
                <w:szCs w:val="18"/>
                <w:rtl w:val="0"/>
              </w:rPr>
              <w:t xml:space="preserv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3C">
            <w:pPr>
              <w:widowControl w:val="0"/>
              <w:rPr>
                <w:b w:val="1"/>
                <w:sz w:val="18"/>
                <w:szCs w:val="18"/>
              </w:rPr>
            </w:pPr>
            <w:r w:rsidDel="00000000" w:rsidR="00000000" w:rsidRPr="00000000">
              <w:rPr>
                <w:b w:val="1"/>
                <w:sz w:val="18"/>
                <w:szCs w:val="18"/>
                <w:rtl w:val="0"/>
              </w:rPr>
              <w:t xml:space="preserve">Headcount</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3D">
            <w:pPr>
              <w:widowControl w:val="0"/>
              <w:rPr>
                <w:b w:val="1"/>
                <w:sz w:val="18"/>
                <w:szCs w:val="18"/>
              </w:rPr>
            </w:pPr>
            <w:r w:rsidDel="00000000" w:rsidR="00000000" w:rsidRPr="00000000">
              <w:rPr>
                <w:b w:val="1"/>
                <w:sz w:val="18"/>
                <w:szCs w:val="18"/>
                <w:rtl w:val="0"/>
              </w:rPr>
              <w:t xml:space="preserv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3E">
            <w:pPr>
              <w:widowControl w:val="0"/>
              <w:rPr>
                <w:b w:val="1"/>
                <w:sz w:val="18"/>
                <w:szCs w:val="18"/>
              </w:rPr>
            </w:pPr>
            <w:r w:rsidDel="00000000" w:rsidR="00000000" w:rsidRPr="00000000">
              <w:rPr>
                <w:b w:val="1"/>
                <w:sz w:val="18"/>
                <w:szCs w:val="18"/>
                <w:rtl w:val="0"/>
              </w:rPr>
              <w:t xml:space="preserve">Headcount</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3F">
            <w:pPr>
              <w:widowControl w:val="0"/>
              <w:rPr>
                <w:b w:val="1"/>
                <w:sz w:val="18"/>
                <w:szCs w:val="18"/>
              </w:rPr>
            </w:pPr>
            <w:r w:rsidDel="00000000" w:rsidR="00000000" w:rsidRPr="00000000">
              <w:rPr>
                <w:b w:val="1"/>
                <w:sz w:val="18"/>
                <w:szCs w:val="18"/>
                <w:rtl w:val="0"/>
              </w:rPr>
              <w:t xml:space="preserv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40">
            <w:pPr>
              <w:widowControl w:val="0"/>
              <w:rPr>
                <w:b w:val="1"/>
                <w:sz w:val="18"/>
                <w:szCs w:val="18"/>
              </w:rPr>
            </w:pPr>
            <w:r w:rsidDel="00000000" w:rsidR="00000000" w:rsidRPr="00000000">
              <w:rPr>
                <w:b w:val="1"/>
                <w:sz w:val="18"/>
                <w:szCs w:val="18"/>
                <w:rtl w:val="0"/>
              </w:rPr>
              <w:t xml:space="preserve">Headcount</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41">
            <w:pPr>
              <w:widowControl w:val="0"/>
              <w:rPr>
                <w:b w:val="1"/>
                <w:sz w:val="18"/>
                <w:szCs w:val="18"/>
              </w:rPr>
            </w:pPr>
            <w:r w:rsidDel="00000000" w:rsidR="00000000" w:rsidRPr="00000000">
              <w:rPr>
                <w:b w:val="1"/>
                <w:sz w:val="18"/>
                <w:szCs w:val="18"/>
                <w:rtl w:val="0"/>
              </w:rPr>
              <w:t xml:space="preserv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2">
            <w:pPr>
              <w:widowControl w:val="0"/>
              <w:rPr>
                <w:b w:val="1"/>
                <w:sz w:val="20"/>
                <w:szCs w:val="20"/>
              </w:rPr>
            </w:pPr>
            <w:r w:rsidDel="00000000" w:rsidR="00000000" w:rsidRPr="00000000">
              <w:rPr>
                <w:b w:val="1"/>
                <w:sz w:val="20"/>
                <w:szCs w:val="20"/>
                <w:rtl w:val="0"/>
              </w:rPr>
              <w:t xml:space="preserve">Male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3">
            <w:pPr>
              <w:widowControl w:val="0"/>
              <w:rPr>
                <w:b w:val="1"/>
                <w:sz w:val="18"/>
                <w:szCs w:val="18"/>
              </w:rPr>
            </w:pPr>
            <w:r w:rsidDel="00000000" w:rsidR="00000000" w:rsidRPr="00000000">
              <w:rPr>
                <w:b w:val="1"/>
                <w:sz w:val="18"/>
                <w:szCs w:val="18"/>
                <w:rtl w:val="0"/>
              </w:rPr>
              <w:t xml:space="preserve">19</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4">
            <w:pPr>
              <w:widowControl w:val="0"/>
              <w:rPr>
                <w:b w:val="1"/>
                <w:sz w:val="18"/>
                <w:szCs w:val="18"/>
              </w:rPr>
            </w:pPr>
            <w:r w:rsidDel="00000000" w:rsidR="00000000" w:rsidRPr="00000000">
              <w:rPr>
                <w:b w:val="1"/>
                <w:sz w:val="18"/>
                <w:szCs w:val="18"/>
                <w:rtl w:val="0"/>
              </w:rPr>
              <w:t xml:space="preserve">3.62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5">
            <w:pPr>
              <w:widowControl w:val="0"/>
              <w:rPr>
                <w:b w:val="1"/>
                <w:sz w:val="18"/>
                <w:szCs w:val="18"/>
              </w:rPr>
            </w:pPr>
            <w:r w:rsidDel="00000000" w:rsidR="00000000" w:rsidRPr="00000000">
              <w:rPr>
                <w:rFonts w:ascii="Calibri" w:cs="Calibri" w:eastAsia="Calibri" w:hAnsi="Calibri"/>
                <w:b w:val="1"/>
                <w:sz w:val="20"/>
                <w:szCs w:val="20"/>
                <w:rtl w:val="0"/>
              </w:rPr>
              <w:t xml:space="preserve">25</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6">
            <w:pPr>
              <w:widowControl w:val="0"/>
              <w:rPr>
                <w:b w:val="1"/>
                <w:sz w:val="18"/>
                <w:szCs w:val="18"/>
              </w:rPr>
            </w:pPr>
            <w:r w:rsidDel="00000000" w:rsidR="00000000" w:rsidRPr="00000000">
              <w:rPr>
                <w:b w:val="1"/>
                <w:sz w:val="18"/>
                <w:szCs w:val="18"/>
                <w:rtl w:val="0"/>
              </w:rPr>
              <w:t xml:space="preserve">4.77</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7">
            <w:pPr>
              <w:widowControl w:val="0"/>
              <w:rPr>
                <w:b w:val="1"/>
                <w:sz w:val="18"/>
                <w:szCs w:val="18"/>
              </w:rPr>
            </w:pPr>
            <w:r w:rsidDel="00000000" w:rsidR="00000000" w:rsidRPr="00000000">
              <w:rPr>
                <w:rFonts w:ascii="Calibri" w:cs="Calibri" w:eastAsia="Calibri" w:hAnsi="Calibri"/>
                <w:b w:val="1"/>
                <w:sz w:val="20"/>
                <w:szCs w:val="20"/>
                <w:rtl w:val="0"/>
              </w:rPr>
              <w:t xml:space="preserve">58</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8">
            <w:pPr>
              <w:widowControl w:val="0"/>
              <w:rPr>
                <w:b w:val="1"/>
                <w:sz w:val="18"/>
                <w:szCs w:val="18"/>
              </w:rPr>
            </w:pPr>
            <w:r w:rsidDel="00000000" w:rsidR="00000000" w:rsidRPr="00000000">
              <w:rPr>
                <w:b w:val="1"/>
                <w:sz w:val="18"/>
                <w:szCs w:val="18"/>
                <w:rtl w:val="0"/>
              </w:rPr>
              <w:t xml:space="preserve">11.05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9">
            <w:pPr>
              <w:widowControl w:val="0"/>
              <w:rPr>
                <w:b w:val="1"/>
                <w:sz w:val="18"/>
                <w:szCs w:val="18"/>
              </w:rPr>
            </w:pPr>
            <w:r w:rsidDel="00000000" w:rsidR="00000000" w:rsidRPr="00000000">
              <w:rPr>
                <w:rFonts w:ascii="Calibri" w:cs="Calibri" w:eastAsia="Calibri" w:hAnsi="Calibri"/>
                <w:b w:val="1"/>
                <w:sz w:val="20"/>
                <w:szCs w:val="20"/>
                <w:rtl w:val="0"/>
              </w:rPr>
              <w:t xml:space="preserve">81</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A">
            <w:pPr>
              <w:widowControl w:val="0"/>
              <w:rPr>
                <w:b w:val="1"/>
                <w:sz w:val="18"/>
                <w:szCs w:val="18"/>
              </w:rPr>
            </w:pPr>
            <w:r w:rsidDel="00000000" w:rsidR="00000000" w:rsidRPr="00000000">
              <w:rPr>
                <w:b w:val="1"/>
                <w:sz w:val="18"/>
                <w:szCs w:val="18"/>
                <w:rtl w:val="0"/>
              </w:rPr>
              <w:t xml:space="preserve">11.05</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B">
            <w:pPr>
              <w:widowControl w:val="0"/>
              <w:rPr>
                <w:b w:val="1"/>
                <w:sz w:val="20"/>
                <w:szCs w:val="20"/>
              </w:rPr>
            </w:pPr>
            <w:r w:rsidDel="00000000" w:rsidR="00000000" w:rsidRPr="00000000">
              <w:rPr>
                <w:b w:val="1"/>
                <w:sz w:val="20"/>
                <w:szCs w:val="20"/>
                <w:rtl w:val="0"/>
              </w:rPr>
              <w:t xml:space="preserve">Female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C">
            <w:pPr>
              <w:widowControl w:val="0"/>
              <w:rPr>
                <w:b w:val="1"/>
                <w:sz w:val="18"/>
                <w:szCs w:val="18"/>
              </w:rPr>
            </w:pPr>
            <w:r w:rsidDel="00000000" w:rsidR="00000000" w:rsidRPr="00000000">
              <w:rPr>
                <w:rFonts w:ascii="Calibri" w:cs="Calibri" w:eastAsia="Calibri" w:hAnsi="Calibri"/>
                <w:b w:val="1"/>
                <w:sz w:val="20"/>
                <w:szCs w:val="20"/>
                <w:rtl w:val="0"/>
              </w:rPr>
              <w:t xml:space="preserve">506</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D">
            <w:pPr>
              <w:widowControl w:val="0"/>
              <w:rPr>
                <w:b w:val="1"/>
                <w:sz w:val="18"/>
                <w:szCs w:val="18"/>
              </w:rPr>
            </w:pPr>
            <w:r w:rsidDel="00000000" w:rsidR="00000000" w:rsidRPr="00000000">
              <w:rPr>
                <w:b w:val="1"/>
                <w:sz w:val="18"/>
                <w:szCs w:val="18"/>
                <w:rtl w:val="0"/>
              </w:rPr>
              <w:t xml:space="preserve">96.38</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E">
            <w:pPr>
              <w:widowControl w:val="0"/>
              <w:rPr>
                <w:b w:val="1"/>
                <w:sz w:val="18"/>
                <w:szCs w:val="18"/>
              </w:rPr>
            </w:pPr>
            <w:r w:rsidDel="00000000" w:rsidR="00000000" w:rsidRPr="00000000">
              <w:rPr>
                <w:rFonts w:ascii="Calibri" w:cs="Calibri" w:eastAsia="Calibri" w:hAnsi="Calibri"/>
                <w:b w:val="1"/>
                <w:sz w:val="20"/>
                <w:szCs w:val="20"/>
                <w:rtl w:val="0"/>
              </w:rPr>
              <w:t xml:space="preserve">499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F">
            <w:pPr>
              <w:widowControl w:val="0"/>
              <w:rPr>
                <w:b w:val="1"/>
                <w:sz w:val="18"/>
                <w:szCs w:val="18"/>
              </w:rPr>
            </w:pPr>
            <w:r w:rsidDel="00000000" w:rsidR="00000000" w:rsidRPr="00000000">
              <w:rPr>
                <w:b w:val="1"/>
                <w:sz w:val="18"/>
                <w:szCs w:val="18"/>
                <w:rtl w:val="0"/>
              </w:rPr>
              <w:t xml:space="preserve">95.23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0">
            <w:pPr>
              <w:widowControl w:val="0"/>
              <w:rPr>
                <w:b w:val="1"/>
                <w:sz w:val="18"/>
                <w:szCs w:val="18"/>
              </w:rPr>
            </w:pPr>
            <w:r w:rsidDel="00000000" w:rsidR="00000000" w:rsidRPr="00000000">
              <w:rPr>
                <w:rFonts w:ascii="Calibri" w:cs="Calibri" w:eastAsia="Calibri" w:hAnsi="Calibri"/>
                <w:b w:val="1"/>
                <w:sz w:val="20"/>
                <w:szCs w:val="20"/>
                <w:rtl w:val="0"/>
              </w:rPr>
              <w:t xml:space="preserve">467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1">
            <w:pPr>
              <w:widowControl w:val="0"/>
              <w:rPr>
                <w:b w:val="1"/>
                <w:sz w:val="18"/>
                <w:szCs w:val="18"/>
              </w:rPr>
            </w:pPr>
            <w:r w:rsidDel="00000000" w:rsidR="00000000" w:rsidRPr="00000000">
              <w:rPr>
                <w:b w:val="1"/>
                <w:sz w:val="18"/>
                <w:szCs w:val="18"/>
                <w:rtl w:val="0"/>
              </w:rPr>
              <w:t xml:space="preserve">88.95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2">
            <w:pPr>
              <w:widowControl w:val="0"/>
              <w:rPr>
                <w:b w:val="1"/>
                <w:sz w:val="18"/>
                <w:szCs w:val="18"/>
              </w:rPr>
            </w:pPr>
            <w:r w:rsidDel="00000000" w:rsidR="00000000" w:rsidRPr="00000000">
              <w:rPr>
                <w:rFonts w:ascii="Calibri" w:cs="Calibri" w:eastAsia="Calibri" w:hAnsi="Calibri"/>
                <w:b w:val="1"/>
                <w:sz w:val="20"/>
                <w:szCs w:val="20"/>
                <w:rtl w:val="0"/>
              </w:rPr>
              <w:t xml:space="preserve">443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3">
            <w:pPr>
              <w:widowControl w:val="0"/>
              <w:rPr>
                <w:b w:val="1"/>
                <w:sz w:val="18"/>
                <w:szCs w:val="18"/>
              </w:rPr>
            </w:pPr>
            <w:r w:rsidDel="00000000" w:rsidR="00000000" w:rsidRPr="00000000">
              <w:rPr>
                <w:rFonts w:ascii="Calibri" w:cs="Calibri" w:eastAsia="Calibri" w:hAnsi="Calibri"/>
                <w:b w:val="1"/>
                <w:sz w:val="20"/>
                <w:szCs w:val="20"/>
                <w:rtl w:val="0"/>
              </w:rPr>
              <w:t xml:space="preserve">88.95</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4">
            <w:pPr>
              <w:widowControl w:val="0"/>
              <w:rPr>
                <w:b w:val="1"/>
                <w:sz w:val="20"/>
                <w:szCs w:val="20"/>
              </w:rPr>
            </w:pPr>
            <w:r w:rsidDel="00000000" w:rsidR="00000000" w:rsidRPr="00000000">
              <w:rPr>
                <w:b w:val="1"/>
                <w:sz w:val="20"/>
                <w:szCs w:val="20"/>
                <w:rtl w:val="0"/>
              </w:rPr>
              <w:t xml:space="preserve">Total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6">
            <w:pPr>
              <w:widowControl w:val="0"/>
              <w:rPr>
                <w:b w:val="1"/>
                <w:sz w:val="18"/>
                <w:szCs w:val="18"/>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8">
            <w:pPr>
              <w:widowControl w:val="0"/>
              <w:rPr>
                <w:b w:val="1"/>
                <w:sz w:val="18"/>
                <w:szCs w:val="18"/>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A">
            <w:pPr>
              <w:widowControl w:val="0"/>
              <w:rPr>
                <w:b w:val="1"/>
                <w:sz w:val="18"/>
                <w:szCs w:val="18"/>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C">
            <w:pPr>
              <w:widowControl w:val="0"/>
              <w:rPr>
                <w:b w:val="1"/>
                <w:sz w:val="18"/>
                <w:szCs w:val="18"/>
              </w:rPr>
            </w:pPr>
            <w:r w:rsidDel="00000000" w:rsidR="00000000" w:rsidRPr="00000000">
              <w:rPr>
                <w:rtl w:val="0"/>
              </w:rPr>
            </w:r>
          </w:p>
        </w:tc>
      </w:tr>
    </w:tbl>
    <w:p w:rsidR="00000000" w:rsidDel="00000000" w:rsidP="00000000" w:rsidRDefault="00000000" w:rsidRPr="00000000" w14:paraId="0000005D">
      <w:pPr>
        <w:pageBreakBefore w:val="0"/>
        <w:spacing w:after="200" w:lineRule="auto"/>
        <w:rPr>
          <w:rFonts w:ascii="Arial" w:cs="Arial" w:eastAsia="Arial" w:hAnsi="Arial"/>
          <w:b w:val="1"/>
          <w:color w:val="1591d1"/>
          <w:sz w:val="28"/>
          <w:szCs w:val="28"/>
        </w:rPr>
      </w:pPr>
      <w:r w:rsidDel="00000000" w:rsidR="00000000" w:rsidRPr="00000000">
        <w:rPr>
          <w:rtl w:val="0"/>
        </w:rPr>
      </w:r>
    </w:p>
    <w:p w:rsidR="00000000" w:rsidDel="00000000" w:rsidP="00000000" w:rsidRDefault="00000000" w:rsidRPr="00000000" w14:paraId="0000005E">
      <w:pPr>
        <w:pageBreakBefore w:val="0"/>
        <w:spacing w:after="200" w:lineRule="auto"/>
        <w:rPr>
          <w:rFonts w:ascii="Arial" w:cs="Arial" w:eastAsia="Arial" w:hAnsi="Arial"/>
          <w:b w:val="1"/>
          <w:color w:val="1591d1"/>
          <w:sz w:val="28"/>
          <w:szCs w:val="28"/>
        </w:rPr>
      </w:pPr>
      <w:r w:rsidDel="00000000" w:rsidR="00000000" w:rsidRPr="00000000">
        <w:rPr>
          <w:rtl w:val="0"/>
        </w:rPr>
      </w:r>
    </w:p>
    <w:p w:rsidR="00000000" w:rsidDel="00000000" w:rsidP="00000000" w:rsidRDefault="00000000" w:rsidRPr="00000000" w14:paraId="0000005F">
      <w:pPr>
        <w:pageBreakBefore w:val="0"/>
        <w:spacing w:after="200" w:lineRule="auto"/>
        <w:rPr>
          <w:rFonts w:ascii="Arial" w:cs="Arial" w:eastAsia="Arial" w:hAnsi="Arial"/>
          <w:b w:val="1"/>
          <w:color w:val="1591d1"/>
          <w:sz w:val="28"/>
          <w:szCs w:val="28"/>
        </w:rPr>
      </w:pPr>
      <w:r w:rsidDel="00000000" w:rsidR="00000000" w:rsidRPr="00000000">
        <w:rPr>
          <w:rFonts w:ascii="Arial" w:cs="Arial" w:eastAsia="Arial" w:hAnsi="Arial"/>
          <w:b w:val="1"/>
          <w:color w:val="1591d1"/>
          <w:sz w:val="28"/>
          <w:szCs w:val="28"/>
        </w:rPr>
        <w:drawing>
          <wp:inline distB="114300" distT="114300" distL="114300" distR="114300">
            <wp:extent cx="5701355" cy="3530600"/>
            <wp:effectExtent b="0" l="0" r="0" t="0"/>
            <wp:docPr descr="Chart" id="3"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5701355"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ageBreakBefore w:val="0"/>
        <w:spacing w:after="200" w:lineRule="auto"/>
        <w:rPr>
          <w:rFonts w:ascii="Arial" w:cs="Arial" w:eastAsia="Arial" w:hAnsi="Arial"/>
          <w:b w:val="1"/>
          <w:color w:val="1591d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1">
      <w:pPr>
        <w:pageBreakBefore w:val="0"/>
        <w:spacing w:after="200" w:lineRule="auto"/>
        <w:rPr>
          <w:rFonts w:ascii="Arial" w:cs="Arial" w:eastAsia="Arial" w:hAnsi="Arial"/>
          <w:b w:val="1"/>
          <w:color w:val="1591d1"/>
          <w:sz w:val="28"/>
          <w:szCs w:val="28"/>
        </w:rPr>
      </w:pPr>
      <w:r w:rsidDel="00000000" w:rsidR="00000000" w:rsidRPr="00000000">
        <w:rPr>
          <w:rFonts w:ascii="Arial" w:cs="Arial" w:eastAsia="Arial" w:hAnsi="Arial"/>
          <w:b w:val="1"/>
          <w:color w:val="1591d1"/>
          <w:sz w:val="28"/>
          <w:szCs w:val="28"/>
          <w:rtl w:val="0"/>
        </w:rPr>
        <w:t xml:space="preserve">Pay Rates</w:t>
      </w:r>
    </w:p>
    <w:tbl>
      <w:tblPr>
        <w:tblStyle w:val="Table3"/>
        <w:tblW w:w="89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1"/>
        <w:gridCol w:w="2991"/>
        <w:gridCol w:w="2991"/>
        <w:tblGridChange w:id="0">
          <w:tblGrid>
            <w:gridCol w:w="2991"/>
            <w:gridCol w:w="2991"/>
            <w:gridCol w:w="2991"/>
          </w:tblGrid>
        </w:tblGridChange>
      </w:tblGrid>
      <w:tr>
        <w:trPr>
          <w:cantSplit w:val="0"/>
          <w:trHeight w:val="810" w:hRule="atLeast"/>
          <w:tblHeader w:val="0"/>
        </w:trPr>
        <w:tc>
          <w:tcPr>
            <w:shd w:fill="1591d1"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Gender </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Median Gender Hourly Rate (£) *</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rFonts w:ascii="Arial" w:cs="Arial" w:eastAsia="Arial" w:hAnsi="Arial"/>
                <w:b w:val="1"/>
                <w:color w:val="ffffff"/>
              </w:rPr>
            </w:pPr>
            <w:r w:rsidDel="00000000" w:rsidR="00000000" w:rsidRPr="00000000">
              <w:rPr>
                <w:rFonts w:ascii="Arial" w:cs="Arial" w:eastAsia="Arial" w:hAnsi="Arial"/>
                <w:b w:val="1"/>
                <w:color w:val="ffffff"/>
                <w:rtl w:val="0"/>
              </w:rPr>
              <w:t xml:space="preserve">Mean Gender Hourly Rate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434343"/>
              </w:rPr>
            </w:pPr>
            <w:r w:rsidDel="00000000" w:rsidR="00000000" w:rsidRPr="00000000">
              <w:rPr>
                <w:rFonts w:ascii="Arial" w:cs="Arial" w:eastAsia="Arial" w:hAnsi="Arial"/>
                <w:b w:val="1"/>
                <w:color w:val="434343"/>
                <w:rtl w:val="0"/>
              </w:rPr>
              <w:t xml:space="preserve">Male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 £19.92</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 £22.72</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434343"/>
              </w:rPr>
            </w:pPr>
            <w:r w:rsidDel="00000000" w:rsidR="00000000" w:rsidRPr="00000000">
              <w:rPr>
                <w:rFonts w:ascii="Arial" w:cs="Arial" w:eastAsia="Arial" w:hAnsi="Arial"/>
                <w:b w:val="1"/>
                <w:color w:val="434343"/>
                <w:rtl w:val="0"/>
              </w:rPr>
              <w:t xml:space="preserve">Female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 £13.70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 £16.93</w:t>
            </w:r>
            <w:r w:rsidDel="00000000" w:rsidR="00000000" w:rsidRPr="00000000">
              <w:rPr>
                <w:rtl w:val="0"/>
              </w:rPr>
            </w:r>
          </w:p>
        </w:tc>
      </w:tr>
    </w:tbl>
    <w:p w:rsidR="00000000" w:rsidDel="00000000" w:rsidP="00000000" w:rsidRDefault="00000000" w:rsidRPr="00000000" w14:paraId="0000006B">
      <w:pPr>
        <w:pageBreakBefore w:val="0"/>
        <w:ind w:left="0" w:firstLine="0"/>
        <w:rPr>
          <w:b w:val="1"/>
          <w:i w:val="1"/>
          <w:color w:val="666666"/>
          <w:sz w:val="18"/>
          <w:szCs w:val="18"/>
        </w:rPr>
      </w:pPr>
      <w:r w:rsidDel="00000000" w:rsidR="00000000" w:rsidRPr="00000000">
        <w:rPr>
          <w:rtl w:val="0"/>
        </w:rPr>
      </w:r>
    </w:p>
    <w:p w:rsidR="00000000" w:rsidDel="00000000" w:rsidP="00000000" w:rsidRDefault="00000000" w:rsidRPr="00000000" w14:paraId="0000006C">
      <w:pPr>
        <w:pageBreakBefore w:val="0"/>
        <w:ind w:left="0" w:firstLine="0"/>
        <w:rPr>
          <w:rFonts w:ascii="Arial" w:cs="Arial" w:eastAsia="Arial" w:hAnsi="Arial"/>
          <w:b w:val="1"/>
          <w:i w:val="1"/>
          <w:color w:val="666666"/>
          <w:sz w:val="20"/>
          <w:szCs w:val="20"/>
        </w:rPr>
      </w:pPr>
      <w:r w:rsidDel="00000000" w:rsidR="00000000" w:rsidRPr="00000000">
        <w:rPr>
          <w:rFonts w:ascii="Arial" w:cs="Arial" w:eastAsia="Arial" w:hAnsi="Arial"/>
          <w:b w:val="1"/>
          <w:i w:val="1"/>
          <w:color w:val="666666"/>
          <w:sz w:val="20"/>
          <w:szCs w:val="20"/>
          <w:rtl w:val="0"/>
        </w:rPr>
        <w:t xml:space="preserve">* median = the value separating the higher half from the lower half of a data sample</w:t>
      </w:r>
    </w:p>
    <w:p w:rsidR="00000000" w:rsidDel="00000000" w:rsidP="00000000" w:rsidRDefault="00000000" w:rsidRPr="00000000" w14:paraId="0000006D">
      <w:pPr>
        <w:pageBreakBefore w:val="0"/>
        <w:ind w:left="0" w:firstLine="0"/>
        <w:rPr>
          <w:rFonts w:ascii="Arial" w:cs="Arial" w:eastAsia="Arial" w:hAnsi="Arial"/>
          <w:b w:val="1"/>
          <w:i w:val="1"/>
          <w:color w:val="666666"/>
          <w:sz w:val="20"/>
          <w:szCs w:val="20"/>
        </w:rPr>
      </w:pPr>
      <w:r w:rsidDel="00000000" w:rsidR="00000000" w:rsidRPr="00000000">
        <w:rPr>
          <w:rFonts w:ascii="Arial" w:cs="Arial" w:eastAsia="Arial" w:hAnsi="Arial"/>
          <w:b w:val="1"/>
          <w:i w:val="1"/>
          <w:color w:val="666666"/>
          <w:sz w:val="20"/>
          <w:szCs w:val="20"/>
          <w:rtl w:val="0"/>
        </w:rPr>
        <w:t xml:space="preserve">**mean = calculated by adding all data points and dividing by the number of data points </w:t>
      </w:r>
    </w:p>
    <w:p w:rsidR="00000000" w:rsidDel="00000000" w:rsidP="00000000" w:rsidRDefault="00000000" w:rsidRPr="00000000" w14:paraId="0000006E">
      <w:pPr>
        <w:pageBreakBefore w:val="0"/>
        <w:ind w:left="0" w:firstLine="0"/>
        <w:rPr>
          <w:rFonts w:ascii="Arial" w:cs="Arial" w:eastAsia="Arial" w:hAnsi="Arial"/>
          <w:b w:val="1"/>
          <w:i w:val="1"/>
          <w:color w:val="666666"/>
          <w:sz w:val="20"/>
          <w:szCs w:val="20"/>
        </w:rPr>
      </w:pPr>
      <w:r w:rsidDel="00000000" w:rsidR="00000000" w:rsidRPr="00000000">
        <w:rPr>
          <w:rtl w:val="0"/>
        </w:rPr>
      </w:r>
    </w:p>
    <w:p w:rsidR="00000000" w:rsidDel="00000000" w:rsidP="00000000" w:rsidRDefault="00000000" w:rsidRPr="00000000" w14:paraId="0000006F">
      <w:pPr>
        <w:pageBreakBefore w:val="0"/>
        <w:ind w:left="0" w:firstLine="0"/>
        <w:rPr>
          <w:rFonts w:ascii="Arial" w:cs="Arial" w:eastAsia="Arial" w:hAnsi="Arial"/>
          <w:b w:val="1"/>
          <w:color w:val="1591d1"/>
        </w:rPr>
      </w:pPr>
      <w:r w:rsidDel="00000000" w:rsidR="00000000" w:rsidRPr="00000000">
        <w:rPr>
          <w:rtl w:val="0"/>
        </w:rPr>
      </w:r>
    </w:p>
    <w:p w:rsidR="00000000" w:rsidDel="00000000" w:rsidP="00000000" w:rsidRDefault="00000000" w:rsidRPr="00000000" w14:paraId="00000070">
      <w:pPr>
        <w:spacing w:after="200" w:lineRule="auto"/>
        <w:rPr>
          <w:rFonts w:ascii="Arial" w:cs="Arial" w:eastAsia="Arial" w:hAnsi="Arial"/>
          <w:b w:val="1"/>
          <w:color w:val="1591d1"/>
        </w:rPr>
      </w:pPr>
      <w:r w:rsidDel="00000000" w:rsidR="00000000" w:rsidRPr="00000000">
        <w:rPr>
          <w:rFonts w:ascii="Arial" w:cs="Arial" w:eastAsia="Arial" w:hAnsi="Arial"/>
          <w:b w:val="1"/>
          <w:color w:val="1591d1"/>
          <w:sz w:val="28"/>
          <w:szCs w:val="28"/>
        </w:rPr>
        <w:drawing>
          <wp:inline distB="114300" distT="114300" distL="114300" distR="114300">
            <wp:extent cx="5701355" cy="3530600"/>
            <wp:effectExtent b="0" l="0" r="0" t="0"/>
            <wp:docPr descr="Chart" id="2"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701355"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after="200" w:lineRule="auto"/>
        <w:ind w:left="0" w:firstLine="0"/>
        <w:rPr>
          <w:rFonts w:ascii="Arial" w:cs="Arial" w:eastAsia="Arial" w:hAnsi="Arial"/>
          <w:b w:val="1"/>
          <w:color w:val="1591d1"/>
          <w:sz w:val="28"/>
          <w:szCs w:val="28"/>
        </w:rPr>
      </w:pPr>
      <w:r w:rsidDel="00000000" w:rsidR="00000000" w:rsidRPr="00000000">
        <w:rPr>
          <w:rtl w:val="0"/>
        </w:rPr>
      </w:r>
    </w:p>
    <w:p w:rsidR="00000000" w:rsidDel="00000000" w:rsidP="00000000" w:rsidRDefault="00000000" w:rsidRPr="00000000" w14:paraId="00000072">
      <w:pPr>
        <w:spacing w:after="200" w:lineRule="auto"/>
        <w:ind w:left="0" w:firstLine="0"/>
        <w:rPr/>
      </w:pPr>
      <w:r w:rsidDel="00000000" w:rsidR="00000000" w:rsidRPr="00000000">
        <w:rPr>
          <w:rFonts w:ascii="Arial" w:cs="Arial" w:eastAsia="Arial" w:hAnsi="Arial"/>
          <w:b w:val="1"/>
          <w:color w:val="1591d1"/>
          <w:sz w:val="28"/>
          <w:szCs w:val="28"/>
          <w:rtl w:val="0"/>
        </w:rPr>
        <w:t xml:space="preserve">Gender Pay Gap*</w:t>
      </w:r>
      <w:r w:rsidDel="00000000" w:rsidR="00000000" w:rsidRPr="00000000">
        <w:rPr>
          <w:rtl w:val="0"/>
        </w:rPr>
      </w:r>
    </w:p>
    <w:tbl>
      <w:tblPr>
        <w:tblStyle w:val="Table4"/>
        <w:tblW w:w="960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6.0335195530724"/>
        <w:gridCol w:w="1018.9944134078212"/>
        <w:gridCol w:w="1018.9944134078212"/>
        <w:gridCol w:w="1018.9944134078212"/>
        <w:gridCol w:w="1018.9944134078212"/>
        <w:gridCol w:w="1018.9944134078212"/>
        <w:gridCol w:w="1018.9944134078212"/>
        <w:tblGridChange w:id="0">
          <w:tblGrid>
            <w:gridCol w:w="3486.0335195530724"/>
            <w:gridCol w:w="1018.9944134078212"/>
            <w:gridCol w:w="1018.9944134078212"/>
            <w:gridCol w:w="1018.9944134078212"/>
            <w:gridCol w:w="1018.9944134078212"/>
            <w:gridCol w:w="1018.9944134078212"/>
            <w:gridCol w:w="1018.9944134078212"/>
          </w:tblGrid>
        </w:tblGridChange>
      </w:tblGrid>
      <w:tr>
        <w:trPr>
          <w:cantSplit w:val="0"/>
          <w:trHeight w:val="465" w:hRule="atLeast"/>
          <w:tblHeader w:val="0"/>
        </w:trPr>
        <w:tc>
          <w:tcPr>
            <w:shd w:fill="1591d1"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tl w:val="0"/>
              </w:rPr>
            </w:r>
          </w:p>
        </w:tc>
        <w:tc>
          <w:tcPr>
            <w:shd w:fill="1591d1"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b w:val="1"/>
                <w:color w:val="ffffff"/>
              </w:rPr>
            </w:pPr>
            <w:r w:rsidDel="00000000" w:rsidR="00000000" w:rsidRPr="00000000">
              <w:rPr>
                <w:rFonts w:ascii="Arial" w:cs="Arial" w:eastAsia="Arial" w:hAnsi="Arial"/>
                <w:b w:val="1"/>
                <w:color w:val="ffffff"/>
                <w:rtl w:val="0"/>
              </w:rPr>
              <w:t xml:space="preserve">2018</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Arial" w:cs="Arial" w:eastAsia="Arial" w:hAnsi="Arial"/>
                <w:b w:val="1"/>
                <w:color w:val="ffffff"/>
              </w:rPr>
            </w:pPr>
            <w:r w:rsidDel="00000000" w:rsidR="00000000" w:rsidRPr="00000000">
              <w:rPr>
                <w:rFonts w:ascii="Arial" w:cs="Arial" w:eastAsia="Arial" w:hAnsi="Arial"/>
                <w:b w:val="1"/>
                <w:color w:val="ffffff"/>
                <w:rtl w:val="0"/>
              </w:rPr>
              <w:t xml:space="preserve">2019</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b w:val="1"/>
                <w:color w:val="ffffff"/>
              </w:rPr>
            </w:pPr>
            <w:r w:rsidDel="00000000" w:rsidR="00000000" w:rsidRPr="00000000">
              <w:rPr>
                <w:rFonts w:ascii="Arial" w:cs="Arial" w:eastAsia="Arial" w:hAnsi="Arial"/>
                <w:b w:val="1"/>
                <w:color w:val="ffffff"/>
                <w:rtl w:val="0"/>
              </w:rPr>
              <w:t xml:space="preserve">2020</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b w:val="1"/>
                <w:color w:val="ffffff"/>
              </w:rPr>
            </w:pPr>
            <w:r w:rsidDel="00000000" w:rsidR="00000000" w:rsidRPr="00000000">
              <w:rPr>
                <w:rFonts w:ascii="Arial" w:cs="Arial" w:eastAsia="Arial" w:hAnsi="Arial"/>
                <w:b w:val="1"/>
                <w:color w:val="ffffff"/>
                <w:rtl w:val="0"/>
              </w:rPr>
              <w:t xml:space="preserve">2021</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2022</w:t>
            </w:r>
          </w:p>
        </w:tc>
        <w:tc>
          <w:tcPr>
            <w:shd w:fill="1591d1"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2023</w:t>
            </w:r>
          </w:p>
        </w:tc>
      </w:tr>
      <w:tr>
        <w:trPr>
          <w:cantSplit w:val="0"/>
          <w:tblHeader w:val="0"/>
        </w:trPr>
        <w:tc>
          <w:tcPr>
            <w:shd w:fill="1591d1"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Median Gender Hourly Pay Gap</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Arial" w:cs="Arial" w:eastAsia="Arial" w:hAnsi="Arial"/>
                <w:b w:val="1"/>
              </w:rPr>
            </w:pPr>
            <w:r w:rsidDel="00000000" w:rsidR="00000000" w:rsidRPr="00000000">
              <w:rPr>
                <w:rFonts w:ascii="Arial" w:cs="Arial" w:eastAsia="Arial" w:hAnsi="Arial"/>
                <w:b w:val="1"/>
                <w:rtl w:val="0"/>
              </w:rPr>
              <w:t xml:space="preserve">27.2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Arial" w:cs="Arial" w:eastAsia="Arial" w:hAnsi="Arial"/>
                <w:b w:val="1"/>
              </w:rPr>
            </w:pPr>
            <w:r w:rsidDel="00000000" w:rsidR="00000000" w:rsidRPr="00000000">
              <w:rPr>
                <w:rFonts w:ascii="Arial" w:cs="Arial" w:eastAsia="Arial" w:hAnsi="Arial"/>
                <w:b w:val="1"/>
                <w:rtl w:val="0"/>
              </w:rPr>
              <w:t xml:space="preserve">28.3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Arial" w:cs="Arial" w:eastAsia="Arial" w:hAnsi="Arial"/>
                <w:b w:val="1"/>
              </w:rPr>
            </w:pPr>
            <w:r w:rsidDel="00000000" w:rsidR="00000000" w:rsidRPr="00000000">
              <w:rPr>
                <w:rFonts w:ascii="Arial" w:cs="Arial" w:eastAsia="Arial" w:hAnsi="Arial"/>
                <w:b w:val="1"/>
                <w:rtl w:val="0"/>
              </w:rPr>
              <w:t xml:space="preserve">32.88</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rial" w:cs="Arial" w:eastAsia="Arial" w:hAnsi="Arial"/>
                <w:b w:val="1"/>
              </w:rPr>
            </w:pPr>
            <w:r w:rsidDel="00000000" w:rsidR="00000000" w:rsidRPr="00000000">
              <w:rPr>
                <w:rFonts w:ascii="Arial" w:cs="Arial" w:eastAsia="Arial" w:hAnsi="Arial"/>
                <w:b w:val="1"/>
                <w:rtl w:val="0"/>
              </w:rPr>
              <w:t xml:space="preserve">24.28</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30.25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31.23</w:t>
            </w:r>
          </w:p>
        </w:tc>
      </w:tr>
      <w:tr>
        <w:trPr>
          <w:cantSplit w:val="0"/>
          <w:tblHeader w:val="0"/>
        </w:trPr>
        <w:tc>
          <w:tcPr>
            <w:shd w:fill="1591d1"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Mean Gender Hourly Pay Gap</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Arial" w:cs="Arial" w:eastAsia="Arial" w:hAnsi="Arial"/>
                <w:b w:val="1"/>
              </w:rPr>
            </w:pPr>
            <w:r w:rsidDel="00000000" w:rsidR="00000000" w:rsidRPr="00000000">
              <w:rPr>
                <w:rFonts w:ascii="Arial" w:cs="Arial" w:eastAsia="Arial" w:hAnsi="Arial"/>
                <w:b w:val="1"/>
                <w:rtl w:val="0"/>
              </w:rPr>
              <w:t xml:space="preserve">23.9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Arial" w:cs="Arial" w:eastAsia="Arial" w:hAnsi="Arial"/>
                <w:b w:val="1"/>
              </w:rPr>
            </w:pPr>
            <w:r w:rsidDel="00000000" w:rsidR="00000000" w:rsidRPr="00000000">
              <w:rPr>
                <w:rFonts w:ascii="Arial" w:cs="Arial" w:eastAsia="Arial" w:hAnsi="Arial"/>
                <w:b w:val="1"/>
                <w:rtl w:val="0"/>
              </w:rPr>
              <w:t xml:space="preserve">24.0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Arial" w:cs="Arial" w:eastAsia="Arial" w:hAnsi="Arial"/>
                <w:b w:val="1"/>
              </w:rPr>
            </w:pPr>
            <w:r w:rsidDel="00000000" w:rsidR="00000000" w:rsidRPr="00000000">
              <w:rPr>
                <w:rFonts w:ascii="Arial" w:cs="Arial" w:eastAsia="Arial" w:hAnsi="Arial"/>
                <w:b w:val="1"/>
                <w:rtl w:val="0"/>
              </w:rPr>
              <w:t xml:space="preserve">30.38</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b w:val="1"/>
              </w:rPr>
            </w:pPr>
            <w:r w:rsidDel="00000000" w:rsidR="00000000" w:rsidRPr="00000000">
              <w:rPr>
                <w:rFonts w:ascii="Arial" w:cs="Arial" w:eastAsia="Arial" w:hAnsi="Arial"/>
                <w:b w:val="1"/>
                <w:rtl w:val="0"/>
              </w:rPr>
              <w:t xml:space="preserve">24.37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25.38</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25.46</w:t>
            </w:r>
          </w:p>
        </w:tc>
      </w:tr>
    </w:tbl>
    <w:p w:rsidR="00000000" w:rsidDel="00000000" w:rsidP="00000000" w:rsidRDefault="00000000" w:rsidRPr="00000000" w14:paraId="00000088">
      <w:pPr>
        <w:pageBreakBefore w:val="0"/>
        <w:rPr>
          <w:b w:val="1"/>
        </w:rPr>
      </w:pPr>
      <w:r w:rsidDel="00000000" w:rsidR="00000000" w:rsidRPr="00000000">
        <w:rPr>
          <w:rtl w:val="0"/>
        </w:rPr>
      </w:r>
    </w:p>
    <w:p w:rsidR="00000000" w:rsidDel="00000000" w:rsidP="00000000" w:rsidRDefault="00000000" w:rsidRPr="00000000" w14:paraId="00000089">
      <w:pPr>
        <w:spacing w:after="200" w:lineRule="auto"/>
        <w:rPr>
          <w:rFonts w:ascii="Arial" w:cs="Arial" w:eastAsia="Arial" w:hAnsi="Arial"/>
          <w:b w:val="1"/>
          <w:i w:val="1"/>
          <w:color w:val="666666"/>
          <w:sz w:val="20"/>
          <w:szCs w:val="20"/>
        </w:rPr>
      </w:pPr>
      <w:r w:rsidDel="00000000" w:rsidR="00000000" w:rsidRPr="00000000">
        <w:rPr>
          <w:rFonts w:ascii="Arial" w:cs="Arial" w:eastAsia="Arial" w:hAnsi="Arial"/>
          <w:b w:val="1"/>
          <w:i w:val="1"/>
          <w:color w:val="666666"/>
          <w:sz w:val="20"/>
          <w:szCs w:val="20"/>
          <w:rtl w:val="0"/>
        </w:rPr>
        <w:t xml:space="preserve">* see notes below re year over year comparison</w:t>
      </w:r>
    </w:p>
    <w:p w:rsidR="00000000" w:rsidDel="00000000" w:rsidP="00000000" w:rsidRDefault="00000000" w:rsidRPr="00000000" w14:paraId="0000008A">
      <w:pPr>
        <w:spacing w:after="200" w:lineRule="auto"/>
        <w:rPr>
          <w:rFonts w:ascii="Arial" w:cs="Arial" w:eastAsia="Arial" w:hAnsi="Arial"/>
          <w:b w:val="1"/>
          <w:color w:val="1591d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200" w:lineRule="auto"/>
        <w:rPr>
          <w:rFonts w:ascii="Arial" w:cs="Arial" w:eastAsia="Arial" w:hAnsi="Arial"/>
          <w:b w:val="1"/>
          <w:color w:val="1591d1"/>
          <w:sz w:val="28"/>
          <w:szCs w:val="28"/>
        </w:rPr>
      </w:pPr>
      <w:r w:rsidDel="00000000" w:rsidR="00000000" w:rsidRPr="00000000">
        <w:rPr>
          <w:rFonts w:ascii="Arial" w:cs="Arial" w:eastAsia="Arial" w:hAnsi="Arial"/>
          <w:b w:val="1"/>
          <w:color w:val="1591d1"/>
          <w:sz w:val="28"/>
          <w:szCs w:val="28"/>
          <w:rtl w:val="0"/>
        </w:rPr>
        <w:t xml:space="preserve">Gender Bonus Pay Ratios</w:t>
      </w:r>
    </w:p>
    <w:p w:rsidR="00000000" w:rsidDel="00000000" w:rsidP="00000000" w:rsidRDefault="00000000" w:rsidRPr="00000000" w14:paraId="0000008C">
      <w:pPr>
        <w:pageBreakBefore w:val="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No staff were in receipt of a bonus</w:t>
      </w:r>
    </w:p>
    <w:p w:rsidR="00000000" w:rsidDel="00000000" w:rsidP="00000000" w:rsidRDefault="00000000" w:rsidRPr="00000000" w14:paraId="0000008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b w:val="1"/>
          <w:color w:val="1591d1"/>
          <w:sz w:val="28"/>
          <w:szCs w:val="28"/>
        </w:rPr>
      </w:pPr>
      <w:r w:rsidDel="00000000" w:rsidR="00000000" w:rsidRPr="00000000">
        <w:rPr>
          <w:rFonts w:ascii="Arial" w:cs="Arial" w:eastAsia="Arial" w:hAnsi="Arial"/>
          <w:b w:val="1"/>
          <w:color w:val="1591d1"/>
          <w:sz w:val="28"/>
          <w:szCs w:val="28"/>
          <w:rtl w:val="0"/>
        </w:rPr>
        <w:t xml:space="preserve">Notes</w:t>
      </w:r>
    </w:p>
    <w:p w:rsidR="00000000" w:rsidDel="00000000" w:rsidP="00000000" w:rsidRDefault="00000000" w:rsidRPr="00000000" w14:paraId="0000008F">
      <w:pPr>
        <w:numPr>
          <w:ilvl w:val="0"/>
          <w:numId w:val="1"/>
        </w:numPr>
        <w:ind w:left="720" w:hanging="360"/>
        <w:jc w:val="both"/>
        <w:rPr>
          <w:rFonts w:ascii="Arial" w:cs="Arial" w:eastAsia="Arial" w:hAnsi="Arial"/>
          <w:color w:val="666666"/>
          <w:sz w:val="20"/>
          <w:szCs w:val="20"/>
        </w:rPr>
      </w:pPr>
      <w:bookmarkStart w:colFirst="0" w:colLast="0" w:name="_5vmb5ijduhu" w:id="15"/>
      <w:bookmarkEnd w:id="15"/>
      <w:r w:rsidDel="00000000" w:rsidR="00000000" w:rsidRPr="00000000">
        <w:rPr>
          <w:rFonts w:ascii="Arial" w:cs="Arial" w:eastAsia="Arial" w:hAnsi="Arial"/>
          <w:color w:val="666666"/>
          <w:sz w:val="22"/>
          <w:szCs w:val="22"/>
          <w:rtl w:val="0"/>
        </w:rPr>
        <w:t xml:space="preserve">The Trust’s headcount has increased due to an additional school joining the Trust since the previous data capture date</w:t>
      </w:r>
    </w:p>
    <w:p w:rsidR="00000000" w:rsidDel="00000000" w:rsidP="00000000" w:rsidRDefault="00000000" w:rsidRPr="00000000" w14:paraId="00000090">
      <w:pPr>
        <w:numPr>
          <w:ilvl w:val="0"/>
          <w:numId w:val="1"/>
        </w:numPr>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T</w:t>
      </w:r>
      <w:r w:rsidDel="00000000" w:rsidR="00000000" w:rsidRPr="00000000">
        <w:rPr>
          <w:rFonts w:ascii="Arial" w:cs="Arial" w:eastAsia="Arial" w:hAnsi="Arial"/>
          <w:color w:val="666666"/>
          <w:sz w:val="22"/>
          <w:szCs w:val="22"/>
          <w:rtl w:val="0"/>
        </w:rPr>
        <w:t xml:space="preserve">he significant majority of the Trust’s workforce continues to be comprised of female employees with the headcount gender ratio remaining largely unchanged on the previous 3 years at circa 90%</w:t>
      </w:r>
      <w:r w:rsidDel="00000000" w:rsidR="00000000" w:rsidRPr="00000000">
        <w:rPr>
          <w:rtl w:val="0"/>
        </w:rPr>
      </w:r>
    </w:p>
    <w:p w:rsidR="00000000" w:rsidDel="00000000" w:rsidP="00000000" w:rsidRDefault="00000000" w:rsidRPr="00000000" w14:paraId="00000091">
      <w:pPr>
        <w:numPr>
          <w:ilvl w:val="0"/>
          <w:numId w:val="1"/>
        </w:numPr>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The gender split between the quartiles has altered slightly since the previous report, with small increases in the numbers of females in the upper middle and upper pay quartiles for the second consecutive year</w:t>
      </w:r>
    </w:p>
    <w:sectPr>
      <w:headerReference r:id="rId9" w:type="default"/>
      <w:headerReference r:id="rId10" w:type="first"/>
      <w:footerReference r:id="rId11" w:type="default"/>
      <w:footerReference r:id="rId12" w:type="first"/>
      <w:pgSz w:h="16840" w:w="11900" w:orient="portrait"/>
      <w:pgMar w:bottom="1440" w:top="1440" w:left="1800" w:right="1127" w:header="284"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Style w:val="Heading3"/>
      <w:pageBreakBefore w:val="0"/>
      <w:jc w:val="center"/>
      <w:rPr>
        <w:rFonts w:ascii="Open Sans" w:cs="Open Sans" w:eastAsia="Open Sans" w:hAnsi="Open Sans"/>
        <w:b w:val="0"/>
        <w:i w:val="0"/>
        <w:smallCaps w:val="0"/>
        <w:strike w:val="0"/>
        <w:color w:val="000000"/>
        <w:sz w:val="24"/>
        <w:szCs w:val="24"/>
        <w:u w:val="none"/>
        <w:shd w:fill="auto" w:val="clear"/>
        <w:vertAlign w:val="baseline"/>
      </w:rPr>
    </w:pPr>
    <w:bookmarkStart w:colFirst="0" w:colLast="0" w:name="_vdu0srpickfu" w:id="16"/>
    <w:bookmarkEnd w:id="16"/>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8"/>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tabs>
        <w:tab w:val="center" w:leader="none" w:pos="4320"/>
        <w:tab w:val="right" w:leader="none" w:pos="8640"/>
      </w:tabs>
      <w:jc w:val="right"/>
      <w:rPr/>
    </w:pPr>
    <w:r w:rsidDel="00000000" w:rsidR="00000000" w:rsidRPr="00000000">
      <w:rPr>
        <w:rtl w:val="0"/>
      </w:rPr>
    </w:r>
  </w:p>
  <w:p w:rsidR="00000000" w:rsidDel="00000000" w:rsidP="00000000" w:rsidRDefault="00000000" w:rsidRPr="00000000" w14:paraId="00000096">
    <w:pPr>
      <w:pStyle w:val="Heading1"/>
      <w:spacing w:before="0" w:lineRule="auto"/>
      <w:rPr>
        <w:rFonts w:ascii="Arial" w:cs="Arial" w:eastAsia="Arial" w:hAnsi="Arial"/>
        <w:color w:val="1591d1"/>
      </w:rPr>
    </w:pPr>
    <w:bookmarkStart w:colFirst="0" w:colLast="0" w:name="_3vomh91fnhrs" w:id="17"/>
    <w:bookmarkEnd w:id="17"/>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4205930</wp:posOffset>
          </wp:positionH>
          <wp:positionV relativeFrom="paragraph">
            <wp:posOffset>19050</wp:posOffset>
          </wp:positionV>
          <wp:extent cx="1498600" cy="939424"/>
          <wp:effectExtent b="0" l="0" r="0" t="0"/>
          <wp:wrapSquare wrapText="bothSides" distB="0" distT="0" distL="0" distR="0"/>
          <wp:docPr id="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498600" cy="939424"/>
                  </a:xfrm>
                  <a:prstGeom prst="rect"/>
                  <a:ln/>
                </pic:spPr>
              </pic:pic>
            </a:graphicData>
          </a:graphic>
        </wp:anchor>
      </w:drawing>
    </w:r>
  </w:p>
  <w:p w:rsidR="00000000" w:rsidDel="00000000" w:rsidP="00000000" w:rsidRDefault="00000000" w:rsidRPr="00000000" w14:paraId="00000097">
    <w:pPr>
      <w:pStyle w:val="Heading1"/>
      <w:spacing w:before="0" w:lineRule="auto"/>
      <w:rPr>
        <w:rFonts w:ascii="Arial" w:cs="Arial" w:eastAsia="Arial" w:hAnsi="Arial"/>
        <w:color w:val="1591d1"/>
      </w:rPr>
    </w:pPr>
    <w:bookmarkStart w:colFirst="0" w:colLast="0" w:name="_3qwr9ptkhixr" w:id="18"/>
    <w:bookmarkEnd w:id="18"/>
    <w:r w:rsidDel="00000000" w:rsidR="00000000" w:rsidRPr="00000000">
      <w:rPr>
        <w:rFonts w:ascii="Arial" w:cs="Arial" w:eastAsia="Arial" w:hAnsi="Arial"/>
        <w:color w:val="1591d1"/>
        <w:rtl w:val="0"/>
      </w:rPr>
      <w:t xml:space="preserve">Gender Pay Gap Report March 2024</w:t>
    </w:r>
  </w:p>
  <w:p w:rsidR="00000000" w:rsidDel="00000000" w:rsidP="00000000" w:rsidRDefault="00000000" w:rsidRPr="00000000" w14:paraId="00000098">
    <w:pPr>
      <w:pStyle w:val="Heading2"/>
      <w:spacing w:before="0" w:lineRule="auto"/>
      <w:rPr>
        <w:rFonts w:ascii="Arial" w:cs="Arial" w:eastAsia="Arial" w:hAnsi="Arial"/>
        <w:color w:val="1591d1"/>
      </w:rPr>
    </w:pPr>
    <w:bookmarkStart w:colFirst="0" w:colLast="0" w:name="_ct7gi4dxlen2" w:id="19"/>
    <w:bookmarkEnd w:id="19"/>
    <w:r w:rsidDel="00000000" w:rsidR="00000000" w:rsidRPr="00000000">
      <w:rPr>
        <w:rFonts w:ascii="Arial" w:cs="Arial" w:eastAsia="Arial" w:hAnsi="Arial"/>
        <w:color w:val="1591d1"/>
        <w:rtl w:val="0"/>
      </w:rPr>
      <w:t xml:space="preserve">Snapshot date: 31st March 2023</w:t>
    </w:r>
  </w:p>
  <w:p w:rsidR="00000000" w:rsidDel="00000000" w:rsidP="00000000" w:rsidRDefault="00000000" w:rsidRPr="00000000" w14:paraId="00000099">
    <w:pPr>
      <w:tabs>
        <w:tab w:val="center" w:leader="none" w:pos="4320"/>
        <w:tab w:val="right" w:leader="none" w:pos="8640"/>
      </w:tabs>
      <w:jc w:val="right"/>
      <w:rPr/>
    </w:pPr>
    <w:r w:rsidDel="00000000" w:rsidR="00000000" w:rsidRPr="00000000">
      <w:rPr>
        <w:rtl w:val="0"/>
      </w:rPr>
    </w:r>
  </w:p>
  <w:p w:rsidR="00000000" w:rsidDel="00000000" w:rsidP="00000000" w:rsidRDefault="00000000" w:rsidRPr="00000000" w14:paraId="0000009A">
    <w:pPr>
      <w:tabs>
        <w:tab w:val="center" w:leader="none" w:pos="4320"/>
        <w:tab w:val="right" w:leader="none" w:pos="8640"/>
      </w:tabs>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b w:val="1"/>
      <w:color w:val="335b8a"/>
      <w:sz w:val="36"/>
      <w:szCs w:val="36"/>
    </w:rPr>
  </w:style>
  <w:style w:type="paragraph" w:styleId="Heading2">
    <w:name w:val="heading 2"/>
    <w:basedOn w:val="Normal"/>
    <w:next w:val="Normal"/>
    <w:pPr>
      <w:keepNext w:val="1"/>
      <w:keepLines w:val="1"/>
      <w:pageBreakBefore w:val="0"/>
      <w:spacing w:before="200" w:lineRule="auto"/>
    </w:pPr>
    <w:rPr>
      <w:b w:val="1"/>
      <w:color w:val="4f81bd"/>
      <w:sz w:val="28"/>
      <w:szCs w:val="28"/>
    </w:rPr>
  </w:style>
  <w:style w:type="paragraph" w:styleId="Heading3">
    <w:name w:val="heading 3"/>
    <w:basedOn w:val="Normal"/>
    <w:next w:val="Normal"/>
    <w:pPr>
      <w:keepNext w:val="1"/>
      <w:keepLines w:val="1"/>
      <w:pageBreakBefore w:val="0"/>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after="60" w:before="240" w:lineRule="auto"/>
    </w:pPr>
    <w:rPr>
      <w:rFonts w:ascii="Arial" w:cs="Arial" w:eastAsia="Arial" w:hAnsi="Arial"/>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